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37" w:rsidRDefault="00C95737" w:rsidP="00E043B3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color w:val="000000" w:themeColor="text1"/>
          <w:sz w:val="20"/>
          <w:szCs w:val="20"/>
        </w:rPr>
      </w:pPr>
    </w:p>
    <w:p w:rsidR="00966B1E" w:rsidRDefault="00966B1E" w:rsidP="00966B1E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29</w:t>
      </w:r>
    </w:p>
    <w:p w:rsidR="00966B1E" w:rsidRDefault="00966B1E" w:rsidP="00966B1E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966B1E" w:rsidRDefault="00966B1E" w:rsidP="00966B1E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966B1E" w:rsidRDefault="00966B1E" w:rsidP="00966B1E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Տեսչական մարմնի ղեկավարի</w:t>
      </w:r>
    </w:p>
    <w:p w:rsidR="00966B1E" w:rsidRDefault="00966B1E" w:rsidP="00966B1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 թվականի սեպտեմբերի 3-ի N Կ1-138-Լ հրամանով</w:t>
      </w:r>
    </w:p>
    <w:p w:rsidR="00583B24" w:rsidRPr="00A3265A" w:rsidRDefault="00583B24" w:rsidP="00E043B3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83B24" w:rsidRPr="00A3265A" w:rsidRDefault="00583B24" w:rsidP="00E043B3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695ABF" w:rsidRPr="00A3265A" w:rsidRDefault="00695ABF" w:rsidP="00AD6C9C">
      <w:pPr>
        <w:spacing w:after="0" w:line="259" w:lineRule="auto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A3265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ՔԱՂԱՔԱՑԻԱԿԱՆ</w:t>
      </w:r>
      <w:r w:rsidR="00744159" w:rsidRPr="00EC0354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A3265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ԾԱՌԱՅՈՒԹՅԱՆ</w:t>
      </w:r>
      <w:r w:rsidR="00744159" w:rsidRPr="00EC0354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A3265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ՊԱՇՏՈՆԻ</w:t>
      </w:r>
      <w:r w:rsidR="00744159" w:rsidRPr="00EC0354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A3265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ԱՆՁՆԱԳԻՐ</w:t>
      </w:r>
    </w:p>
    <w:p w:rsidR="00870BE0" w:rsidRPr="00A3265A" w:rsidRDefault="004021AA" w:rsidP="00AD6C9C">
      <w:pPr>
        <w:tabs>
          <w:tab w:val="left" w:pos="851"/>
        </w:tabs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3265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ՀՀ </w:t>
      </w:r>
      <w:r w:rsidR="00870BE0" w:rsidRPr="00A3265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ԿՐԹՈՒԹՅԱՆ ՏԵՍՉԱԿԱՆ ՄԱՐՄՆԻ</w:t>
      </w:r>
      <w:r w:rsidR="00870BE0" w:rsidRPr="00A3265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ԻՐԱՎԱԿԱՆ </w:t>
      </w:r>
      <w:r w:rsidR="0080553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ԱՋԱԿ</w:t>
      </w:r>
      <w:r w:rsidR="00870BE0" w:rsidRPr="00A3265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ՑՈՒԹՅԱՆ ԵՎ ՓԱՍՏԱԹՂԹԱՇՐՋԱՆԱՌՈՒԹՅԱՆ ՎԱՐՉՈՒԹՅԱՆ</w:t>
      </w:r>
      <w:r w:rsidR="00870BE0" w:rsidRPr="00A3265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ԳԼԽԱՎՈՐ ՄԱՍՆԱԳԵՏ</w:t>
      </w:r>
    </w:p>
    <w:tbl>
      <w:tblPr>
        <w:tblW w:w="1063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A3265A" w:rsidRPr="00A3265A" w:rsidTr="00920A7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A3265A" w:rsidRDefault="00695ABF" w:rsidP="00851F94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1</w:t>
            </w:r>
            <w:r w:rsidRPr="00A3265A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</w:rPr>
              <w:t>․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Ընդհանուր</w:t>
            </w:r>
            <w:r w:rsid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դրույթներ</w:t>
            </w:r>
          </w:p>
        </w:tc>
      </w:tr>
      <w:tr w:rsidR="00A3265A" w:rsidRPr="00310D43" w:rsidTr="00920A7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A3265A" w:rsidRDefault="00695ABF" w:rsidP="00851F9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 xml:space="preserve">1.1.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Պաշտոնի</w:t>
            </w:r>
            <w:r w:rsidR="00385A9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անվանումը</w:t>
            </w: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ծածկագիրը</w:t>
            </w:r>
          </w:p>
          <w:p w:rsidR="00695ABF" w:rsidRPr="00A3265A" w:rsidRDefault="00214DE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Կրթության </w:t>
            </w:r>
            <w:r w:rsidR="00743744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տեսչական մարմնի (այսուհետ՝ Տեսչական մարմին) </w:t>
            </w:r>
            <w:r w:rsidR="00C37A2C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իրավական աջակցության և փաստաթղթաշրջանառության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43744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(այսուհետ</w:t>
            </w:r>
            <w:r w:rsidR="001F14A7" w:rsidRPr="00A3265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 Վարչություն) գլխավոր մասնագետ</w:t>
            </w:r>
            <w:r w:rsidR="0074415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(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ծածկագիրը՝ </w:t>
            </w:r>
            <w:r w:rsidR="00743744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6</w:t>
            </w:r>
            <w:r w:rsidR="002742D3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8</w:t>
            </w:r>
            <w:r w:rsidR="00743744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-27.</w:t>
            </w:r>
            <w:r w:rsidR="00870BE0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="00743744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-Մ2-</w:t>
            </w:r>
            <w:r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1</w:t>
            </w:r>
            <w:r w:rsidR="00695ABF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)</w:t>
            </w:r>
          </w:p>
          <w:p w:rsidR="00695ABF" w:rsidRPr="00A3265A" w:rsidRDefault="00695ABF" w:rsidP="00851F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 xml:space="preserve">1.2.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Ենթակա</w:t>
            </w:r>
            <w:r w:rsidR="00385A9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և</w:t>
            </w:r>
            <w:r w:rsidR="00385A9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հաշվետու</w:t>
            </w:r>
            <w:r w:rsidR="00385A9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է</w:t>
            </w:r>
          </w:p>
          <w:p w:rsidR="00695ABF" w:rsidRPr="00A3265A" w:rsidRDefault="0088503B" w:rsidP="00851F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Վարչության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Գլխավոր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CF1585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մասնագետ</w:t>
            </w:r>
            <w:r w:rsidR="00805532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ն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B2646B" w:rsidRPr="00AD45F0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r w:rsidR="007441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ենթակա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և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հաշվետու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է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Վարչության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պետին</w:t>
            </w:r>
            <w:r w:rsidR="00695ABF"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:</w:t>
            </w:r>
          </w:p>
          <w:p w:rsidR="00695ABF" w:rsidRPr="00A3265A" w:rsidRDefault="00695ABF" w:rsidP="00851F9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 xml:space="preserve">1.3.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Փոխարինող պաշտոնի</w:t>
            </w:r>
            <w:r w:rsidR="00744159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կամ</w:t>
            </w:r>
            <w:r w:rsidR="00744159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պաշտոնների անվանումները</w:t>
            </w:r>
          </w:p>
          <w:p w:rsidR="00946EFF" w:rsidRPr="00284236" w:rsidRDefault="0088503B" w:rsidP="00851F94">
            <w:pPr>
              <w:spacing w:after="0" w:line="259" w:lineRule="auto"/>
              <w:jc w:val="both"/>
              <w:rPr>
                <w:rFonts w:eastAsia="Sylfaen" w:cs="Sylfaen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Վարչության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Գլխավոր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CF1585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մասնագետ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ի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բացակայության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դեպքում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նրան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փոխարինում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95ABF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է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284236" w:rsidRPr="0028423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Վարչության </w:t>
            </w:r>
            <w:r w:rsidR="00B2646B" w:rsidRPr="0028423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Գ</w:t>
            </w:r>
            <w:r w:rsidR="000A4593" w:rsidRPr="0028423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լխավոր</w:t>
            </w:r>
            <w:r w:rsid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CF1585"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մասնագետ</w:t>
            </w:r>
            <w:r w:rsidR="00284236" w:rsidRPr="0028423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ներից մեկը</w:t>
            </w:r>
            <w:r w:rsidR="00284236">
              <w:rPr>
                <w:rFonts w:eastAsia="Sylfaen" w:cs="Sylfaen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695ABF" w:rsidRPr="00EC0354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C0354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1.4. </w:t>
            </w:r>
            <w:r w:rsidRP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Աշխատավայրը</w:t>
            </w:r>
          </w:p>
          <w:p w:rsidR="00946EFF" w:rsidRPr="00A3265A" w:rsidRDefault="00946EFF" w:rsidP="00AD6C9C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C03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Հայաստան,</w:t>
            </w:r>
            <w:r w:rsidR="00385A9A" w:rsidRPr="00385A9A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03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ք. Երևան, Արաբկիր վարչական շրջան, </w:t>
            </w:r>
            <w:r w:rsidR="00214DEF" w:rsidRPr="00EC03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Կոմիտասի 37/4</w:t>
            </w:r>
            <w:r w:rsidRPr="00A3265A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A3265A" w:rsidRPr="00310D43" w:rsidTr="00920A7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6725" w:rsidRPr="00A3265A" w:rsidRDefault="00166725" w:rsidP="001667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A3265A">
              <w:rPr>
                <w:rFonts w:ascii="GHEA Grapalat" w:eastAsia="Times New Roman" w:hAnsi="GHEA Grapalat" w:cs="Arial"/>
                <w:b/>
                <w:color w:val="000000" w:themeColor="text1"/>
                <w:sz w:val="24"/>
                <w:szCs w:val="24"/>
                <w:lang w:val="hy-AM" w:eastAsia="ru-RU"/>
              </w:rPr>
              <w:t>2.1 Աշխատանքի  բնույթը, իրավունքները, պարտականությունները</w:t>
            </w:r>
          </w:p>
          <w:tbl>
            <w:tblPr>
              <w:tblStyle w:val="TableGrid"/>
              <w:tblW w:w="1052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2"/>
            </w:tblGrid>
            <w:tr w:rsidR="00A3265A" w:rsidRPr="00310D43" w:rsidTr="000D63F5">
              <w:trPr>
                <w:trHeight w:val="4814"/>
              </w:trPr>
              <w:tc>
                <w:tcPr>
                  <w:tcW w:w="10522" w:type="dxa"/>
                </w:tcPr>
                <w:p w:rsidR="00A461A4" w:rsidRPr="00B9763D" w:rsidRDefault="00744159" w:rsidP="00A461A4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  <w:tab w:val="left" w:pos="2869"/>
                    </w:tabs>
                    <w:spacing w:after="0" w:line="240" w:lineRule="auto"/>
                    <w:ind w:left="0" w:firstLine="46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</w:t>
                  </w:r>
                  <w:r w:rsidR="00A461A4" w:rsidRPr="00B9763D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եսչական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կառուցվածքային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կողմից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shd w:val="clear" w:color="auto" w:fill="FFFFFF"/>
                      <w:lang w:val="hy-AM"/>
                    </w:rPr>
                    <w:t>կազմվող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shd w:val="clear" w:color="auto" w:fill="FFFFFF"/>
                      <w:lang w:val="hy-AM"/>
                    </w:rPr>
                    <w:t>փաստաթղթերի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shd w:val="clear" w:color="auto" w:fill="FFFFFF"/>
                      <w:lang w:val="hy-AM"/>
                    </w:rPr>
                    <w:t>նախագծերի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,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կրթության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որակի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չափորոշիչների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բարելավման</w:t>
                  </w:r>
                  <w:r w:rsidR="00A461A4" w:rsidRPr="00B9763D">
                    <w:rPr>
                      <w:rFonts w:ascii="GHEA Grapalat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ինչպես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գործող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իրավական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ակտերում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փոփոխություններ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լրացումներ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կատարելու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անհրաժեշտության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վերաբերյալ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ներկայացված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կարծիքների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առաջարկությունների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իրավական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քննարկման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աշխատանքները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A461A4" w:rsidRPr="00B9763D" w:rsidRDefault="00744159" w:rsidP="00A461A4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6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գործունեությանն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առնչվող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իրավական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հարցերի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վերաբերյալ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խորհրդատվությունների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եզրակացությունների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տեղեկանքների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տրամադրումը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A461A4" w:rsidRPr="00B9763D" w:rsidRDefault="00744159" w:rsidP="00A461A4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6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Վարչության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կողմից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ղեկավարի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հաստատմանը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ստորագրմանը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ներկայացվող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փաստաթղթերի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նախագծերի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համապատասխանեցումը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ՀՀ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օրենսդրության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պահանջներին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A461A4" w:rsidRPr="00B9763D" w:rsidRDefault="00744159" w:rsidP="00A461A4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6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դատական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ատյաններում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ինչպես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այլ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պետական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մարմիններում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շահերի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B9763D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պաշտպանությունը</w:t>
                  </w:r>
                  <w:r w:rsidR="00A461A4" w:rsidRPr="00B9763D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57CEC" w:rsidRPr="005E2E4F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70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70C0"/>
                      <w:sz w:val="24"/>
                      <w:szCs w:val="24"/>
                      <w:lang w:val="hy-AM"/>
                    </w:rPr>
                  </w:pPr>
                  <w:r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մարմին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դիմած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քաղաքացիների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ընդունելությունը</w:t>
                  </w:r>
                  <w:r w:rsidR="00957CEC" w:rsidRPr="005E2E4F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ինչպես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հանրությունից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ստացված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դիմումներում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բարձրացված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հարցերի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ուսումնասիրությունը</w:t>
                  </w:r>
                  <w:r w:rsidR="00957CEC" w:rsidRPr="005E2E4F"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hy-AM"/>
                    </w:rPr>
                    <w:t>․</w:t>
                  </w:r>
                </w:p>
                <w:p w:rsidR="00957CEC" w:rsidRPr="005E2E4F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Վարչության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կողմից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ներկայացվող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պաշտոնական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պարզաբանումների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նախագծերի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վերաբերյալ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գրավոր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եզրակացությունների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ներկայացման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5E2E4F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աշխատանքները</w:t>
                  </w:r>
                  <w:r w:rsidR="00A461A4" w:rsidRPr="005E2E4F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57CEC" w:rsidRPr="00957CEC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lastRenderedPageBreak/>
                    <w:t>Ի</w:t>
                  </w:r>
                  <w:r w:rsidR="00957CEC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կրթության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բնագավառում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վերահսկողություն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իրականացնելու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համար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նախատեսված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ստուգաթերթերի</w:t>
                  </w:r>
                  <w:r w:rsidR="00957CEC" w:rsidRPr="00957CEC">
                    <w:rPr>
                      <w:rFonts w:ascii="GHEA Grapalat" w:hAnsi="GHEA Grapalat" w:cs="Sylfaen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հավելվածների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կամ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դրանցում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կատարվող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փոփոխությունների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ու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լրացումների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նախագծերի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կազմման</w:t>
                  </w:r>
                  <w:r w:rsidRPr="00744159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957CEC" w:rsidRPr="00957CEC">
                    <w:rPr>
                      <w:rFonts w:ascii="GHEA Grapalat" w:hAnsi="GHEA Grapalat" w:cs="Arial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աշխատանքները</w:t>
                  </w:r>
                  <w:r w:rsidR="00957CEC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57CEC" w:rsidRPr="00957CEC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ասնակցում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մտից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ելից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փաստաթղթերի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գրանցման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համարակալման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էլեկտրոնային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թղթային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առաքման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աշխատանքներին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57CEC" w:rsidRPr="00957CEC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ասնակցում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փաստաթղթաշրջանառությանն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առնչվող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գրանցամատյանների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այլ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փաստաթղթերի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վարման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աշխատանքներին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57CEC" w:rsidRPr="00957CEC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ասնակցում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արխիվային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փաստաթղթերի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հաշվառման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պահպանման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աշխատանքներին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57CEC" w:rsidRPr="00957CEC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Ի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րականացնում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Հայաստանի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Հանրապետության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Նախագահի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Ազգային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ժողովի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կառավարության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աշխատակազմերից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ստացված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հանձնարարականների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նախարարությունների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այլ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գերատեսչությունների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կողմից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ստացված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գրությունների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կառավարման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խորհրդի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 (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այսուհետ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`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Խորհորդ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)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որոշումների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կատարման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հսկողությունը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A461A4" w:rsidRPr="00957CEC" w:rsidRDefault="00744159" w:rsidP="00957CE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spacing w:after="0" w:line="240" w:lineRule="auto"/>
                    <w:ind w:left="0" w:firstLine="457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ասնակցում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Խորհրդի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նիստերի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կազմակերպմանը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անցկացմանը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անհրաժեշտ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նյութերի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նախապատրաստմանը</w:t>
                  </w:r>
                  <w:r w:rsidR="00A461A4" w:rsidRPr="00957CEC">
                    <w:rPr>
                      <w:rFonts w:ascii="GHEA Grapalat" w:hAnsi="GHEA Grapalat" w:cs="IRTEK Courier"/>
                      <w:color w:val="000000" w:themeColor="text1"/>
                      <w:sz w:val="24"/>
                      <w:szCs w:val="24"/>
                      <w:lang w:val="hy-AM"/>
                    </w:rPr>
                    <w:t xml:space="preserve">,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արձանագրությունների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կազմմանը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ու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ընդունված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որոշումների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կատարման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նկատմամբ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ընթացիկ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957CEC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հսկողությանը</w:t>
                  </w:r>
                  <w:r w:rsidR="00A461A4" w:rsidRPr="00957CE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E77A54" w:rsidRPr="00744159" w:rsidRDefault="00744159" w:rsidP="00A461A4">
                  <w:pPr>
                    <w:tabs>
                      <w:tab w:val="left" w:pos="770"/>
                    </w:tabs>
                    <w:spacing w:after="0" w:line="240" w:lineRule="auto"/>
                    <w:ind w:right="34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 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13.</w:t>
                  </w:r>
                  <w:r w:rsidR="00385A9A" w:rsidRPr="00385A9A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385A9A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ասնակցում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է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Խորհրդի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կողմից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տրված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հանձնարարականների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կատարման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մասին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Տեսչական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մարմնի</w:t>
                  </w:r>
                  <w:r w:rsidRPr="00744159">
                    <w:rPr>
                      <w:rFonts w:ascii="GHEA Grapalat" w:eastAsia="Sylfaen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ղեկավարին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տեղեկատվության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տրամադրման</w:t>
                  </w:r>
                  <w:r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="00A461A4" w:rsidRPr="00A461A4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աշխատանքներին</w:t>
                  </w:r>
                  <w:r w:rsidR="0067315A" w:rsidRPr="00744159"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  <w:t>:</w:t>
                  </w:r>
                </w:p>
                <w:p w:rsidR="00BC0787" w:rsidRPr="00A3265A" w:rsidRDefault="00BC0787" w:rsidP="00A315BE">
                  <w:pPr>
                    <w:pStyle w:val="ListParagraph"/>
                    <w:tabs>
                      <w:tab w:val="left" w:pos="1024"/>
                    </w:tabs>
                    <w:spacing w:after="0" w:line="240" w:lineRule="auto"/>
                    <w:ind w:left="460"/>
                    <w:jc w:val="both"/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166725" w:rsidRPr="00A3265A" w:rsidRDefault="00166725" w:rsidP="00BC0787">
            <w:pPr>
              <w:pStyle w:val="ListParagraph"/>
              <w:tabs>
                <w:tab w:val="left" w:pos="744"/>
                <w:tab w:val="left" w:pos="993"/>
              </w:tabs>
              <w:spacing w:after="0" w:line="240" w:lineRule="auto"/>
              <w:ind w:left="516" w:right="19" w:firstLine="460"/>
              <w:jc w:val="both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Իրավունքները՝</w:t>
            </w:r>
          </w:p>
          <w:p w:rsidR="00166725" w:rsidRPr="00A3265A" w:rsidRDefault="00166725" w:rsidP="00BC0787">
            <w:pPr>
              <w:pStyle w:val="ListParagraph"/>
              <w:tabs>
                <w:tab w:val="left" w:pos="709"/>
              </w:tabs>
              <w:spacing w:after="0" w:line="240" w:lineRule="auto"/>
              <w:ind w:left="0" w:right="19" w:firstLine="46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</w:t>
            </w:r>
            <w:r w:rsidR="00143DE1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</w:t>
            </w:r>
            <w:r w:rsidR="00ED427D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արչության պետին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ըստ անհրաժեշտության, </w:t>
            </w:r>
            <w:r w:rsidR="00812B8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ներկայացն</w:t>
            </w:r>
            <w:r w:rsidR="00812B81" w:rsidRPr="0074415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առաջարկություններ՝ Վարչության աշխատանքներին մասնագետներ, փորձագետներ, գիտական հաստատությունների ներկայացուցիչներ ներգրավելու և աշխատանքային խմբեր կազմավորելու վերաբերյալ.</w:t>
            </w:r>
          </w:p>
          <w:p w:rsidR="00166725" w:rsidRPr="00A3265A" w:rsidRDefault="00B65541" w:rsidP="00B65541">
            <w:pPr>
              <w:tabs>
                <w:tab w:val="left" w:pos="851"/>
              </w:tabs>
              <w:spacing w:after="0" w:line="240" w:lineRule="auto"/>
              <w:ind w:left="34" w:right="-5" w:firstLine="56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2. </w:t>
            </w: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</w:t>
            </w:r>
            <w:r w:rsidR="00143DE1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պետի գիտությամբ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Տեսչական մարմնի ստորաբաժանումներից, </w:t>
            </w:r>
            <w:r w:rsidR="00166725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այլ մարմիններից, պաշտոնատար անձանցից հարցում </w:t>
            </w:r>
            <w:r w:rsidR="001D2D1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կատարել</w:t>
            </w:r>
            <w:r w:rsidR="00166725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66725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անհրաժեշտ տեղեկատվություն և նյութեր ստանալու նպատակով.</w:t>
            </w:r>
          </w:p>
          <w:p w:rsidR="00012A66" w:rsidRPr="008A5075" w:rsidRDefault="000E220D" w:rsidP="00B65541">
            <w:pPr>
              <w:tabs>
                <w:tab w:val="left" w:pos="851"/>
              </w:tabs>
              <w:spacing w:after="0" w:line="240" w:lineRule="auto"/>
              <w:ind w:left="34" w:right="-5" w:firstLine="56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3.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Տեսչական մարմին</w:t>
            </w: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դիմած քաղաքացիների</w:t>
            </w:r>
            <w:r w:rsidR="00C903AA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ընդունելությա</w:t>
            </w: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 w:rsidR="001D2D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903AA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="00553545" w:rsidRPr="0055354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նթացքում</w:t>
            </w: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նրանց կողմից</w:t>
            </w:r>
            <w:r w:rsidR="00F55EDF" w:rsidRPr="00F55ED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ինչպես նաև հանրությունից </w:t>
            </w:r>
            <w:r w:rsidR="00553545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ներկայացված դիմումներ</w:t>
            </w:r>
            <w:r w:rsidR="00553545" w:rsidRPr="0055354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ում</w:t>
            </w:r>
            <w:r w:rsidR="001D2D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53545" w:rsidRPr="0055354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բարձրացված</w:t>
            </w:r>
            <w:r w:rsidR="001D2D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հարցերի </w:t>
            </w:r>
            <w:r w:rsidR="00553545" w:rsidRPr="0055354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վերաբերյալ</w:t>
            </w:r>
            <w:r w:rsidR="001D2D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0374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 իրավասությունների շրջանակներում </w:t>
            </w:r>
            <w:r w:rsidR="00C903AA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ներկայացն</w:t>
            </w:r>
            <w:r w:rsidR="00553545" w:rsidRPr="0055354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առաջարկություններ.</w:t>
            </w:r>
          </w:p>
          <w:p w:rsidR="007718E4" w:rsidRPr="00A3265A" w:rsidRDefault="001443C9" w:rsidP="007718E4">
            <w:pPr>
              <w:pStyle w:val="ListParagraph"/>
              <w:tabs>
                <w:tab w:val="left" w:pos="743"/>
                <w:tab w:val="left" w:pos="851"/>
              </w:tabs>
              <w:spacing w:after="0" w:line="240" w:lineRule="auto"/>
              <w:ind w:left="0" w:right="-5" w:firstLine="567"/>
              <w:jc w:val="both"/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</w:pPr>
            <w:r w:rsidRPr="00744159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>4</w:t>
            </w:r>
            <w:r w:rsidR="007718E4" w:rsidRPr="00A3265A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="009F546B" w:rsidRPr="00A3265A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>Վ</w:t>
            </w:r>
            <w:r w:rsidR="007718E4" w:rsidRPr="00A3265A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>արչության պետի հանձնարարությամբ հանդես</w:t>
            </w:r>
            <w:r w:rsidR="0067315A" w:rsidRPr="00744159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18E4" w:rsidRPr="00A3265A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>գալ որպես ներկայացուցիչ Հայաստանի Հանրապետության և օտարերկրյա պետությունների, միջազգային և այլ կազմակերպությունների իրավասու մարմինների ներկայացուցիչների հետ հանդիպումներին, խորհրդակցություններին, գիտաժողովներին, սեմինարներին, ինչպես նաև հանդես</w:t>
            </w:r>
            <w:r w:rsidR="0067315A" w:rsidRPr="00744159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18E4" w:rsidRPr="00A3265A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 xml:space="preserve">գալ առաջարկություններով, </w:t>
            </w:r>
            <w:r w:rsidR="008B5767" w:rsidRPr="00A3265A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>զեկույց</w:t>
            </w:r>
            <w:r w:rsidR="007718E4" w:rsidRPr="00A3265A">
              <w:rPr>
                <w:rFonts w:ascii="GHEA Grapalat" w:hAnsi="GHEA Grapalat" w:cs="IRTEK Courier"/>
                <w:color w:val="000000" w:themeColor="text1"/>
                <w:sz w:val="24"/>
                <w:szCs w:val="24"/>
                <w:lang w:val="hy-AM"/>
              </w:rPr>
              <w:t xml:space="preserve">ներով, հաշվետվություններով: </w:t>
            </w:r>
          </w:p>
          <w:p w:rsidR="00166725" w:rsidRPr="00A3265A" w:rsidRDefault="00166725" w:rsidP="00166725">
            <w:pPr>
              <w:tabs>
                <w:tab w:val="left" w:pos="709"/>
                <w:tab w:val="left" w:pos="743"/>
              </w:tabs>
              <w:spacing w:after="0" w:line="240" w:lineRule="auto"/>
              <w:ind w:left="516" w:right="-5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166725" w:rsidRPr="00A3265A" w:rsidRDefault="00166725" w:rsidP="00166725">
            <w:pPr>
              <w:tabs>
                <w:tab w:val="left" w:pos="709"/>
                <w:tab w:val="left" w:pos="743"/>
              </w:tabs>
              <w:spacing w:after="0" w:line="240" w:lineRule="auto"/>
              <w:ind w:left="516" w:right="-5"/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:rsidR="004E17AF" w:rsidRPr="00A3265A" w:rsidRDefault="004E17AF" w:rsidP="004E17AF">
            <w:pPr>
              <w:pStyle w:val="ListParagraph"/>
              <w:tabs>
                <w:tab w:val="left" w:pos="75"/>
                <w:tab w:val="left" w:pos="709"/>
                <w:tab w:val="left" w:pos="744"/>
              </w:tabs>
              <w:spacing w:after="0" w:line="240" w:lineRule="auto"/>
              <w:ind w:left="0" w:right="19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 Իր</w:t>
            </w:r>
            <w:r w:rsidR="001D2D1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լիազորությունների</w:t>
            </w:r>
            <w:r w:rsidR="001D2D1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շրջանակում</w:t>
            </w:r>
            <w:r w:rsidR="001D2D1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պատ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րաս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="006731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="0067315A" w:rsidRPr="0074415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ել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առաջարկություններ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տեղեկանքներ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հաշվետվություններ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միջնոր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գրեր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զեկու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ցա</w:t>
            </w:r>
            <w:r w:rsidRPr="00A3265A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գրեր</w:t>
            </w:r>
            <w:r w:rsidR="006245BF" w:rsidRPr="006245B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6245BF" w:rsidRPr="006245B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այլ</w:t>
            </w:r>
            <w:r w:rsidR="006245BF" w:rsidRPr="006245B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գրություններ</w:t>
            </w:r>
            <w:r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895FB2" w:rsidRPr="00B54448" w:rsidRDefault="008A5075" w:rsidP="00895FB2">
            <w:pPr>
              <w:pStyle w:val="ListParagraph"/>
              <w:tabs>
                <w:tab w:val="left" w:pos="772"/>
              </w:tabs>
              <w:spacing w:after="0" w:line="240" w:lineRule="auto"/>
              <w:ind w:left="0" w:right="-5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A507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166725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="0067315A" w:rsidRPr="0074415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87351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պետի հանձնարարությամբ </w:t>
            </w:r>
            <w:r w:rsidR="006731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իրականացն</w:t>
            </w:r>
            <w:r w:rsidR="0067315A" w:rsidRPr="0074415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 w:rsidR="00166725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66725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կառուցվածքային ստորաբաժանումների</w:t>
            </w:r>
            <w:r w:rsidR="00166725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կողմից </w:t>
            </w:r>
            <w:r w:rsidR="00895FB2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կրթության բնագավառը կարգավորող Հայաստանի Հանրապետության օրենսդրության պահանջների պահպանման նկատմամբ վերահսկողություն </w:t>
            </w:r>
            <w:r w:rsidR="00895FB2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իրականացնելու համար նախատեսված ստուգաթերթերի, հավելվածների, դրանց փոփոխություններ</w:t>
            </w:r>
            <w:r w:rsidR="00895FB2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</w:t>
            </w:r>
            <w:r w:rsidR="00895FB2"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ու լրամշակման</w:t>
            </w:r>
            <w:r w:rsidR="00895FB2" w:rsidRPr="00A3265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աշխատանքներ</w:t>
            </w:r>
            <w:r w:rsidR="00B54448" w:rsidRPr="00B544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ը.</w:t>
            </w:r>
          </w:p>
          <w:p w:rsidR="0067315A" w:rsidRPr="00B9763D" w:rsidRDefault="0067315A" w:rsidP="0067315A">
            <w:pPr>
              <w:tabs>
                <w:tab w:val="left" w:pos="709"/>
                <w:tab w:val="left" w:pos="743"/>
                <w:tab w:val="left" w:pos="851"/>
              </w:tabs>
              <w:spacing w:after="0" w:line="240" w:lineRule="auto"/>
              <w:ind w:right="-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63D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Pr="0074415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86015">
              <w:rPr>
                <w:rFonts w:ascii="GHEA Grapalat" w:hAnsi="GHEA Grapalat" w:cs="Arial"/>
                <w:sz w:val="24"/>
                <w:szCs w:val="24"/>
                <w:lang w:val="hy-AM"/>
              </w:rPr>
              <w:t>Ս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տուգել տեսչական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մարմնի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հաստատմանը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ստորագրմանը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ներկայացվող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նախագծերի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համապատասխանությունը Հայաստանի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օրենսդրության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պահանջների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B9763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95ABF" w:rsidRPr="00744159" w:rsidRDefault="0067315A" w:rsidP="0067315A">
            <w:pPr>
              <w:tabs>
                <w:tab w:val="left" w:pos="709"/>
                <w:tab w:val="left" w:pos="743"/>
                <w:tab w:val="left" w:pos="851"/>
              </w:tabs>
              <w:spacing w:after="0" w:line="240" w:lineRule="auto"/>
              <w:ind w:right="-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74415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86015">
              <w:rPr>
                <w:rFonts w:ascii="GHEA Grapalat" w:hAnsi="GHEA Grapalat" w:cs="Arial"/>
                <w:sz w:val="24"/>
                <w:szCs w:val="24"/>
                <w:lang w:val="hy-AM"/>
              </w:rPr>
              <w:t>Մ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ուտքագրել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Տեսչական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մարմնի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մտից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ելից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փաստաթղթերը</w:t>
            </w:r>
            <w:r w:rsidRPr="00B9763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առաքել էլեկտրոնային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1D2D1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hAnsi="GHEA Grapalat" w:cs="Arial"/>
                <w:sz w:val="24"/>
                <w:szCs w:val="24"/>
                <w:lang w:val="hy-AM"/>
              </w:rPr>
              <w:t>թղթային</w:t>
            </w:r>
            <w:r w:rsidRPr="00B976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տարբերակներով:</w:t>
            </w:r>
          </w:p>
        </w:tc>
      </w:tr>
      <w:tr w:rsidR="00A3265A" w:rsidRPr="00A3265A" w:rsidTr="00920A7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A3265A" w:rsidRDefault="00695ABF" w:rsidP="00851F9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3</w:t>
            </w:r>
            <w:r w:rsidRPr="00A3265A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Պաշտոնին</w:t>
            </w:r>
            <w:r w:rsidR="00310D43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ներկայացվող</w:t>
            </w:r>
            <w:r w:rsidR="00310D43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պահանջները</w:t>
            </w:r>
          </w:p>
          <w:p w:rsidR="00695ABF" w:rsidRPr="00A3265A" w:rsidRDefault="00695ABF" w:rsidP="00851F9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3.1.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Կրթություն</w:t>
            </w: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որակավորման</w:t>
            </w:r>
            <w:r w:rsidR="004E6C1B" w:rsidRPr="00385A9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2473"/>
              <w:gridCol w:w="5812"/>
            </w:tblGrid>
            <w:tr w:rsidR="00A3265A" w:rsidRPr="00310D43" w:rsidTr="00583B24">
              <w:trPr>
                <w:jc w:val="center"/>
              </w:trPr>
              <w:tc>
                <w:tcPr>
                  <w:tcW w:w="562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1.</w:t>
                  </w:r>
                </w:p>
              </w:tc>
              <w:tc>
                <w:tcPr>
                  <w:tcW w:w="2473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812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Գործարարություն, վարչարարություն և իրավունք</w:t>
                  </w:r>
                </w:p>
              </w:tc>
            </w:tr>
            <w:tr w:rsidR="00A3265A" w:rsidRPr="00310D43" w:rsidTr="00583B24">
              <w:trPr>
                <w:jc w:val="center"/>
              </w:trPr>
              <w:tc>
                <w:tcPr>
                  <w:tcW w:w="562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2.</w:t>
                  </w:r>
                </w:p>
              </w:tc>
              <w:tc>
                <w:tcPr>
                  <w:tcW w:w="2473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812" w:type="dxa"/>
                </w:tcPr>
                <w:p w:rsidR="00750BAA" w:rsidRPr="00744159" w:rsidRDefault="0067315A" w:rsidP="00F43174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744159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Իրավունք</w:t>
                  </w:r>
                </w:p>
              </w:tc>
            </w:tr>
            <w:tr w:rsidR="00A3265A" w:rsidRPr="00310D43" w:rsidTr="00583B24">
              <w:trPr>
                <w:jc w:val="center"/>
              </w:trPr>
              <w:tc>
                <w:tcPr>
                  <w:tcW w:w="562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3.</w:t>
                  </w:r>
                </w:p>
              </w:tc>
              <w:tc>
                <w:tcPr>
                  <w:tcW w:w="2473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5812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Իրավունք</w:t>
                  </w:r>
                </w:p>
              </w:tc>
            </w:tr>
            <w:tr w:rsidR="00A3265A" w:rsidRPr="00310D43" w:rsidTr="00583B24">
              <w:trPr>
                <w:jc w:val="center"/>
              </w:trPr>
              <w:tc>
                <w:tcPr>
                  <w:tcW w:w="562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4.</w:t>
                  </w:r>
                </w:p>
              </w:tc>
              <w:tc>
                <w:tcPr>
                  <w:tcW w:w="2473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5812" w:type="dxa"/>
                </w:tcPr>
                <w:p w:rsidR="00750BAA" w:rsidRPr="00A3265A" w:rsidRDefault="00750BAA" w:rsidP="00750BAA">
                  <w:pPr>
                    <w:spacing w:after="0"/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</w:pPr>
                  <w:r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>042101.00.6 Իրավագիտություն</w:t>
                  </w:r>
                  <w:r w:rsidR="00286015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 xml:space="preserve"> կամ 042101.00.7</w:t>
                  </w:r>
                  <w:r w:rsidR="00286015" w:rsidRPr="00A3265A">
                    <w:rPr>
                      <w:rFonts w:ascii="GHEA Grapalat" w:eastAsia="Times New Roman" w:hAnsi="GHEA Grapalat" w:cs="Arial"/>
                      <w:color w:val="000000" w:themeColor="text1"/>
                      <w:sz w:val="24"/>
                      <w:szCs w:val="24"/>
                      <w:lang w:val="hy-AM" w:eastAsia="ru-RU"/>
                    </w:rPr>
                    <w:t xml:space="preserve"> Իրավագիտություն</w:t>
                  </w:r>
                </w:p>
              </w:tc>
            </w:tr>
          </w:tbl>
          <w:p w:rsidR="00750BAA" w:rsidRPr="00A3265A" w:rsidRDefault="00750BAA" w:rsidP="00750BAA">
            <w:pPr>
              <w:spacing w:after="0"/>
              <w:rPr>
                <w:rFonts w:ascii="GHEA Grapalat" w:eastAsia="Times New Roman" w:hAnsi="GHEA Grapalat" w:cs="Arial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695ABF" w:rsidRPr="00A3265A" w:rsidRDefault="00695ABF" w:rsidP="00851F9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3.2.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Մասնագիտական</w:t>
            </w:r>
            <w:r w:rsidR="00EC0354" w:rsidRPr="004E6C1B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գիտելիքները</w:t>
            </w:r>
          </w:p>
          <w:p w:rsidR="00695ABF" w:rsidRPr="00A3265A" w:rsidRDefault="00695ABF" w:rsidP="00851F94">
            <w:pPr>
              <w:spacing w:after="0" w:line="240" w:lineRule="auto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Ունի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գործառույթների իրականացման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անհրաժեշտ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գիտելիքներ</w:t>
            </w:r>
          </w:p>
          <w:p w:rsidR="00695ABF" w:rsidRPr="00A3265A" w:rsidRDefault="00695ABF" w:rsidP="00851F9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3.3.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Աշխատանքային</w:t>
            </w:r>
            <w:r w:rsidR="00EC0354" w:rsidRP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ստաժ</w:t>
            </w: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աշխատանքի</w:t>
            </w:r>
            <w:r w:rsidR="00EC0354" w:rsidRP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բնագավառում</w:t>
            </w:r>
            <w:r w:rsidR="00EC0354" w:rsidRP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փորձը</w:t>
            </w:r>
          </w:p>
          <w:p w:rsidR="00C74128" w:rsidRPr="00A3265A" w:rsidRDefault="00695ABF" w:rsidP="00C74128">
            <w:pPr>
              <w:spacing w:after="0"/>
              <w:ind w:right="14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Հանրային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ծառայության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առնվազն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երկու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տարվա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40EFC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ստաժ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40EFC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82D2B" w:rsidRPr="00640EFC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երեք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տարվա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մասնագիտական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աշխատանքային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ստաժ</w:t>
            </w:r>
            <w:r w:rsidR="0067315A" w:rsidRPr="0074415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կամ </w:t>
            </w:r>
            <w:r w:rsidR="00F43174" w:rsidRPr="00A3265A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իրավունքի կամ փաստաթղթավարության </w:t>
            </w:r>
            <w:r w:rsidR="00C74128" w:rsidRPr="00A3265A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բնագավառում` </w:t>
            </w:r>
            <w:r w:rsidR="005F2B29" w:rsidRPr="005F2B2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ru-RU"/>
              </w:rPr>
              <w:t>երեք</w:t>
            </w:r>
            <w:r w:rsidR="00C74128" w:rsidRPr="00A3265A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 տարվա աշխատանքային ստաժ: </w:t>
            </w:r>
          </w:p>
          <w:p w:rsidR="00695ABF" w:rsidRPr="00A3265A" w:rsidRDefault="00695ABF" w:rsidP="00851F9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3.4.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Անհրաժեշտ</w:t>
            </w:r>
            <w:r w:rsid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կոմպետենցիաներ</w:t>
            </w:r>
          </w:p>
          <w:p w:rsidR="00695ABF" w:rsidRPr="00A3265A" w:rsidRDefault="00695ABF" w:rsidP="00851F94">
            <w:pPr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</w:t>
            </w:r>
            <w:r w:rsid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կոմպետենցիաներ</w:t>
            </w:r>
          </w:p>
          <w:p w:rsidR="00695ABF" w:rsidRPr="00A3265A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Ծրագրերի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մշակում</w:t>
            </w:r>
          </w:p>
          <w:p w:rsidR="00695ABF" w:rsidRPr="00A3265A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Խնդրի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լուծում</w:t>
            </w:r>
          </w:p>
          <w:p w:rsidR="00695ABF" w:rsidRPr="00A3265A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Հաշվետվությունների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մշակում</w:t>
            </w:r>
          </w:p>
          <w:p w:rsidR="00695ABF" w:rsidRPr="00A3265A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Տեղեկատվության</w:t>
            </w:r>
            <w:r w:rsidR="001D2D16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հավաքագրում</w:t>
            </w:r>
            <w:r w:rsidRPr="00A3265A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վերլուծություն</w:t>
            </w:r>
          </w:p>
          <w:p w:rsidR="00695ABF" w:rsidRPr="00A3265A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Բարեվարքություն</w:t>
            </w:r>
          </w:p>
          <w:p w:rsidR="00695ABF" w:rsidRPr="00A3265A" w:rsidRDefault="00695ABF" w:rsidP="00851F94">
            <w:pPr>
              <w:spacing w:after="0" w:line="240" w:lineRule="auto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Ընտրանքային</w:t>
            </w:r>
            <w:r w:rsidR="00EC0354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>կոմպետենցիաներ</w:t>
            </w:r>
          </w:p>
          <w:p w:rsidR="00C57DD8" w:rsidRPr="00A3265A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C57DD8" w:rsidRPr="00AD45F0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45F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C57DD8" w:rsidRPr="00A3265A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Բանակցությունների վարում</w:t>
            </w:r>
          </w:p>
          <w:p w:rsidR="00C57DD8" w:rsidRPr="00A3265A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414C6" w:rsidRPr="00A3265A" w:rsidRDefault="00C57DD8" w:rsidP="00C57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A3265A" w:rsidRPr="00310D43" w:rsidTr="00920A71">
        <w:trPr>
          <w:trHeight w:val="233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A3265A" w:rsidRDefault="00695ABF" w:rsidP="0067315A">
            <w:pPr>
              <w:spacing w:after="0" w:line="360" w:lineRule="auto"/>
              <w:jc w:val="center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</w:pPr>
            <w:r w:rsidRPr="00A3265A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lastRenderedPageBreak/>
              <w:t>4. Կազմակերպական շրջանակը</w:t>
            </w:r>
          </w:p>
          <w:p w:rsidR="0067315A" w:rsidRPr="008A6C0D" w:rsidRDefault="0067315A" w:rsidP="0067315A">
            <w:pPr>
              <w:spacing w:after="0" w:line="240" w:lineRule="auto"/>
              <w:ind w:firstLine="34"/>
              <w:jc w:val="both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</w:pPr>
            <w:r w:rsidRPr="008A6C0D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4.1.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Աշխատանքի</w:t>
            </w:r>
            <w:r w:rsidR="00EC0354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կազմակերպման</w:t>
            </w:r>
            <w:r w:rsidR="00EC0354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="00EC0354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ղեկավարման</w:t>
            </w:r>
            <w:r w:rsidR="00EC0354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պատասխանատվությունը</w:t>
            </w:r>
          </w:p>
          <w:p w:rsidR="0067315A" w:rsidRPr="008A6C0D" w:rsidRDefault="0067315A" w:rsidP="00286015">
            <w:pPr>
              <w:spacing w:after="0"/>
              <w:ind w:left="34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Պատասխանատու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է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կառուցվածքային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ստորաբաժանման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աշխատանքների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բնույթով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պայմանավորված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մասնագիտական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գործունեության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անմիջական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արդյունքի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</w:rPr>
              <w:t>համար</w:t>
            </w:r>
            <w:r w:rsidRPr="008A6C0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67315A" w:rsidRPr="008A6C0D" w:rsidRDefault="0067315A" w:rsidP="00286015">
            <w:pPr>
              <w:spacing w:after="0"/>
              <w:jc w:val="both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</w:pPr>
          </w:p>
          <w:p w:rsidR="0067315A" w:rsidRPr="008A6C0D" w:rsidRDefault="0067315A" w:rsidP="0067315A">
            <w:pPr>
              <w:spacing w:after="0" w:line="240" w:lineRule="auto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</w:pPr>
            <w:r w:rsidRPr="008A6C0D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</w:rPr>
              <w:t xml:space="preserve">4.2.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Որոշումներ</w:t>
            </w:r>
            <w:r w:rsidR="00EC0354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կայացնելու</w:t>
            </w:r>
            <w:r w:rsidR="00EC0354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</w:rPr>
              <w:t>լիազորությունները</w:t>
            </w:r>
          </w:p>
          <w:p w:rsidR="0067315A" w:rsidRPr="008A6C0D" w:rsidRDefault="0067315A" w:rsidP="001D2D1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Կայացնում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է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որոշումներ՝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աշխատանքների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իրականացման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բնույթով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պայմանավորված</w:t>
            </w:r>
            <w:r w:rsidRPr="008A6C0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`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մասնագիտական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եզրակացությունների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տրամադրման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ՀՀ օրենսդրությամբ նախատեսված դեպքերում</w:t>
            </w:r>
            <w:r w:rsidR="001D2D1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sz w:val="24"/>
                <w:szCs w:val="24"/>
              </w:rPr>
              <w:t>որոշումների</w:t>
            </w:r>
            <w:r w:rsidR="001D2D1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sz w:val="24"/>
                <w:szCs w:val="24"/>
              </w:rPr>
              <w:t>կայացման</w:t>
            </w:r>
            <w:r w:rsidR="001D2D1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sz w:val="24"/>
                <w:szCs w:val="24"/>
              </w:rPr>
              <w:t>շրջանակներում</w:t>
            </w:r>
            <w:r w:rsidRPr="008A6C0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:rsidR="0067315A" w:rsidRPr="008A6C0D" w:rsidRDefault="0067315A" w:rsidP="0067315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67315A" w:rsidRPr="008A6C0D" w:rsidRDefault="0067315A" w:rsidP="0067315A">
            <w:pPr>
              <w:spacing w:after="0" w:line="240" w:lineRule="auto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A6C0D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4.3.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Գործունեության</w:t>
            </w:r>
            <w:r w:rsidR="00EC0354" w:rsidRPr="004E6C1B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ազդեցությունը</w:t>
            </w:r>
          </w:p>
          <w:p w:rsidR="0067315A" w:rsidRPr="008A6C0D" w:rsidRDefault="0067315A" w:rsidP="001D2D1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Ունի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տվյալ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նպատակների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խնդիրների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իրականացման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մասնագիտական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գործունեության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գերատեսչական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A6C0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ազդեցություն։</w:t>
            </w:r>
          </w:p>
          <w:p w:rsidR="0067315A" w:rsidRPr="008A6C0D" w:rsidRDefault="0067315A" w:rsidP="0067315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</w:p>
          <w:p w:rsidR="0067315A" w:rsidRPr="00B9763D" w:rsidRDefault="0067315A" w:rsidP="0067315A">
            <w:pPr>
              <w:spacing w:after="0" w:line="240" w:lineRule="auto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9763D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4.4.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Շփումները</w:t>
            </w:r>
            <w:r w:rsidR="00EC0354" w:rsidRPr="004E6C1B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և</w:t>
            </w:r>
            <w:r w:rsidR="00EC0354" w:rsidRPr="004E6C1B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ներկայացուցչությունը</w:t>
            </w:r>
          </w:p>
          <w:p w:rsidR="0067315A" w:rsidRPr="00B9763D" w:rsidRDefault="0067315A" w:rsidP="001D2D1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Իր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իրավասությունների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շրջանակներում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շփվում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որպես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ներկայացուցիչ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հանդես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է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գալիս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տվյալ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ներսում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կառուցվածքային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ստորաբաժանումների</w:t>
            </w:r>
            <w:r w:rsidRPr="00B9763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մարմինների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ներկայացուցիչների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B9763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հանդես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է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գալիս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մարմինների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միջազգային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կազմակերպությունների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ներկայացուցիչների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մասնակցությամբ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ձևավորված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աշխատանքային</w:t>
            </w:r>
            <w:r w:rsidR="001D2D16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խմբերում</w:t>
            </w:r>
            <w:r w:rsidRPr="00B9763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67315A" w:rsidRPr="00B9763D" w:rsidRDefault="0067315A" w:rsidP="0067315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:rsidR="0067315A" w:rsidRPr="00B9763D" w:rsidRDefault="0067315A" w:rsidP="0067315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9763D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4.5.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Խնդիրների</w:t>
            </w:r>
            <w:r w:rsidR="00EC0354" w:rsidRPr="004E6C1B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բարդությունը</w:t>
            </w:r>
            <w:r w:rsidR="00EC0354" w:rsidRPr="004E6C1B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և</w:t>
            </w:r>
            <w:r w:rsidR="00EC0354" w:rsidRPr="004E6C1B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դրանց</w:t>
            </w:r>
            <w:r w:rsidR="00EC0354" w:rsidRPr="004E6C1B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Sylfaen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լուծումը</w:t>
            </w:r>
          </w:p>
          <w:p w:rsidR="00695ABF" w:rsidRPr="00A3265A" w:rsidRDefault="0067315A" w:rsidP="0067315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9763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>Իր</w:t>
            </w:r>
            <w:r w:rsidR="002328AD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լիազորությունների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շրջանակներում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բացահայտում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մասնագիտական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խնդիրներ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այդ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խնդիրներին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տալիս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մասնագիտական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լուծումներ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մասնակցում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կառուցվածքային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ստորաբաժանման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առջև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դրված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խնդիրների</w:t>
            </w:r>
            <w:r w:rsidR="002328A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B9763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լուծմանը</w:t>
            </w:r>
            <w:r w:rsidRPr="00B9763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</w:tc>
      </w:tr>
    </w:tbl>
    <w:p w:rsidR="00695ABF" w:rsidRPr="00A3265A" w:rsidRDefault="00695ABF" w:rsidP="00166725">
      <w:pPr>
        <w:spacing w:after="0" w:line="240" w:lineRule="auto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:rsidR="00A3265A" w:rsidRPr="00A3265A" w:rsidRDefault="00A3265A">
      <w:pPr>
        <w:spacing w:after="0" w:line="240" w:lineRule="auto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sectPr w:rsidR="00A3265A" w:rsidRPr="00A3265A" w:rsidSect="00583B24">
      <w:pgSz w:w="12240" w:h="15840"/>
      <w:pgMar w:top="426" w:right="616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64" w:rsidRDefault="00664664" w:rsidP="00166725">
      <w:pPr>
        <w:spacing w:after="0" w:line="240" w:lineRule="auto"/>
      </w:pPr>
      <w:r>
        <w:separator/>
      </w:r>
    </w:p>
  </w:endnote>
  <w:endnote w:type="continuationSeparator" w:id="0">
    <w:p w:rsidR="00664664" w:rsidRDefault="00664664" w:rsidP="001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64" w:rsidRDefault="00664664" w:rsidP="00166725">
      <w:pPr>
        <w:spacing w:after="0" w:line="240" w:lineRule="auto"/>
      </w:pPr>
      <w:r>
        <w:separator/>
      </w:r>
    </w:p>
  </w:footnote>
  <w:footnote w:type="continuationSeparator" w:id="0">
    <w:p w:rsidR="00664664" w:rsidRDefault="00664664" w:rsidP="001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32E66D75"/>
    <w:multiLevelType w:val="hybridMultilevel"/>
    <w:tmpl w:val="EF1EE1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A725886"/>
    <w:multiLevelType w:val="hybridMultilevel"/>
    <w:tmpl w:val="1FDCBA7A"/>
    <w:lvl w:ilvl="0" w:tplc="5A7CAE2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7B2F"/>
    <w:multiLevelType w:val="hybridMultilevel"/>
    <w:tmpl w:val="7BF25D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7328252">
      <w:start w:val="1"/>
      <w:numFmt w:val="decimal"/>
      <w:lvlText w:val="%2)"/>
      <w:lvlJc w:val="left"/>
      <w:pPr>
        <w:ind w:left="2007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56758C"/>
    <w:multiLevelType w:val="hybridMultilevel"/>
    <w:tmpl w:val="568C9F06"/>
    <w:lvl w:ilvl="0" w:tplc="412CAB56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971814"/>
    <w:multiLevelType w:val="hybridMultilevel"/>
    <w:tmpl w:val="568C9F06"/>
    <w:lvl w:ilvl="0" w:tplc="412CAB56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D3439B"/>
    <w:multiLevelType w:val="hybridMultilevel"/>
    <w:tmpl w:val="8E780650"/>
    <w:lvl w:ilvl="0" w:tplc="097E7E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9285795"/>
    <w:multiLevelType w:val="multilevel"/>
    <w:tmpl w:val="1F18475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1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5"/>
  </w:num>
  <w:num w:numId="5">
    <w:abstractNumId w:val="22"/>
  </w:num>
  <w:num w:numId="6">
    <w:abstractNumId w:val="0"/>
  </w:num>
  <w:num w:numId="7">
    <w:abstractNumId w:val="5"/>
  </w:num>
  <w:num w:numId="8">
    <w:abstractNumId w:val="12"/>
  </w:num>
  <w:num w:numId="9">
    <w:abstractNumId w:val="24"/>
  </w:num>
  <w:num w:numId="10">
    <w:abstractNumId w:val="1"/>
  </w:num>
  <w:num w:numId="11">
    <w:abstractNumId w:val="21"/>
  </w:num>
  <w:num w:numId="12">
    <w:abstractNumId w:val="10"/>
  </w:num>
  <w:num w:numId="13">
    <w:abstractNumId w:val="13"/>
  </w:num>
  <w:num w:numId="14">
    <w:abstractNumId w:val="2"/>
  </w:num>
  <w:num w:numId="15">
    <w:abstractNumId w:val="11"/>
  </w:num>
  <w:num w:numId="16">
    <w:abstractNumId w:val="6"/>
  </w:num>
  <w:num w:numId="17">
    <w:abstractNumId w:val="16"/>
  </w:num>
  <w:num w:numId="18">
    <w:abstractNumId w:val="14"/>
  </w:num>
  <w:num w:numId="19">
    <w:abstractNumId w:val="3"/>
  </w:num>
  <w:num w:numId="20">
    <w:abstractNumId w:val="7"/>
  </w:num>
  <w:num w:numId="21">
    <w:abstractNumId w:val="4"/>
  </w:num>
  <w:num w:numId="22">
    <w:abstractNumId w:val="18"/>
  </w:num>
  <w:num w:numId="23">
    <w:abstractNumId w:val="2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1620"/>
    <w:rsid w:val="0000765B"/>
    <w:rsid w:val="00012A66"/>
    <w:rsid w:val="00033BDD"/>
    <w:rsid w:val="0003745E"/>
    <w:rsid w:val="0004625F"/>
    <w:rsid w:val="0005334D"/>
    <w:rsid w:val="00057E36"/>
    <w:rsid w:val="00063145"/>
    <w:rsid w:val="00080CCC"/>
    <w:rsid w:val="0009513B"/>
    <w:rsid w:val="000A4593"/>
    <w:rsid w:val="000B6A53"/>
    <w:rsid w:val="000C28CA"/>
    <w:rsid w:val="000D2F1B"/>
    <w:rsid w:val="000D4780"/>
    <w:rsid w:val="000D63F5"/>
    <w:rsid w:val="000E220D"/>
    <w:rsid w:val="000F2862"/>
    <w:rsid w:val="000F5993"/>
    <w:rsid w:val="000F6594"/>
    <w:rsid w:val="001313DF"/>
    <w:rsid w:val="00143DE1"/>
    <w:rsid w:val="001443C9"/>
    <w:rsid w:val="00144DD0"/>
    <w:rsid w:val="00162C1C"/>
    <w:rsid w:val="00166725"/>
    <w:rsid w:val="00182D2B"/>
    <w:rsid w:val="001B7F95"/>
    <w:rsid w:val="001D2D16"/>
    <w:rsid w:val="001F111D"/>
    <w:rsid w:val="001F14A7"/>
    <w:rsid w:val="002005D2"/>
    <w:rsid w:val="00214DEF"/>
    <w:rsid w:val="002328AD"/>
    <w:rsid w:val="002402E0"/>
    <w:rsid w:val="00245759"/>
    <w:rsid w:val="002742D3"/>
    <w:rsid w:val="00284236"/>
    <w:rsid w:val="00286015"/>
    <w:rsid w:val="00294F06"/>
    <w:rsid w:val="00295D53"/>
    <w:rsid w:val="002A317F"/>
    <w:rsid w:val="002C05F4"/>
    <w:rsid w:val="002C1F26"/>
    <w:rsid w:val="002F2D0F"/>
    <w:rsid w:val="00305581"/>
    <w:rsid w:val="00310D43"/>
    <w:rsid w:val="00316E82"/>
    <w:rsid w:val="00323097"/>
    <w:rsid w:val="00332C26"/>
    <w:rsid w:val="003509B5"/>
    <w:rsid w:val="00353533"/>
    <w:rsid w:val="00385A9A"/>
    <w:rsid w:val="00386DB6"/>
    <w:rsid w:val="00387FE5"/>
    <w:rsid w:val="003A515D"/>
    <w:rsid w:val="003B1D63"/>
    <w:rsid w:val="003C7B2C"/>
    <w:rsid w:val="003D03B9"/>
    <w:rsid w:val="003E238A"/>
    <w:rsid w:val="003E38BA"/>
    <w:rsid w:val="003F300F"/>
    <w:rsid w:val="004021AA"/>
    <w:rsid w:val="00404FBF"/>
    <w:rsid w:val="00413D7A"/>
    <w:rsid w:val="004204E4"/>
    <w:rsid w:val="00442639"/>
    <w:rsid w:val="00445385"/>
    <w:rsid w:val="00455399"/>
    <w:rsid w:val="00456DEF"/>
    <w:rsid w:val="00456ECA"/>
    <w:rsid w:val="00461CEC"/>
    <w:rsid w:val="00472E22"/>
    <w:rsid w:val="004A7647"/>
    <w:rsid w:val="004B1779"/>
    <w:rsid w:val="004B3E34"/>
    <w:rsid w:val="004C5EA5"/>
    <w:rsid w:val="004C7ECD"/>
    <w:rsid w:val="004E17AF"/>
    <w:rsid w:val="004E6C1B"/>
    <w:rsid w:val="00516974"/>
    <w:rsid w:val="0052585F"/>
    <w:rsid w:val="00526723"/>
    <w:rsid w:val="00533516"/>
    <w:rsid w:val="00542CEC"/>
    <w:rsid w:val="00553545"/>
    <w:rsid w:val="00565BE0"/>
    <w:rsid w:val="00583B24"/>
    <w:rsid w:val="00585CC8"/>
    <w:rsid w:val="00597B9B"/>
    <w:rsid w:val="005C3F21"/>
    <w:rsid w:val="005D1F58"/>
    <w:rsid w:val="005E0AE4"/>
    <w:rsid w:val="005E2E4F"/>
    <w:rsid w:val="005E7E75"/>
    <w:rsid w:val="005F2B29"/>
    <w:rsid w:val="00606E1F"/>
    <w:rsid w:val="006245BF"/>
    <w:rsid w:val="00640EFC"/>
    <w:rsid w:val="006414C6"/>
    <w:rsid w:val="00644C94"/>
    <w:rsid w:val="006453AE"/>
    <w:rsid w:val="0065009E"/>
    <w:rsid w:val="00664664"/>
    <w:rsid w:val="0067315A"/>
    <w:rsid w:val="00682DA9"/>
    <w:rsid w:val="00682EF7"/>
    <w:rsid w:val="006912F9"/>
    <w:rsid w:val="00695ABF"/>
    <w:rsid w:val="006B5AEE"/>
    <w:rsid w:val="006E57CA"/>
    <w:rsid w:val="006F5925"/>
    <w:rsid w:val="006F6F5B"/>
    <w:rsid w:val="00703EED"/>
    <w:rsid w:val="007412B8"/>
    <w:rsid w:val="00741AE0"/>
    <w:rsid w:val="00743744"/>
    <w:rsid w:val="00744159"/>
    <w:rsid w:val="00750BAA"/>
    <w:rsid w:val="0075454D"/>
    <w:rsid w:val="00761A98"/>
    <w:rsid w:val="007718E4"/>
    <w:rsid w:val="007818C0"/>
    <w:rsid w:val="00783D2B"/>
    <w:rsid w:val="00795380"/>
    <w:rsid w:val="007A2D78"/>
    <w:rsid w:val="007A7182"/>
    <w:rsid w:val="007B4F45"/>
    <w:rsid w:val="007F7D2B"/>
    <w:rsid w:val="00805532"/>
    <w:rsid w:val="00812B81"/>
    <w:rsid w:val="00814F04"/>
    <w:rsid w:val="00823E34"/>
    <w:rsid w:val="00841EEA"/>
    <w:rsid w:val="00851F94"/>
    <w:rsid w:val="0085485E"/>
    <w:rsid w:val="00866DE2"/>
    <w:rsid w:val="00870BE0"/>
    <w:rsid w:val="0088503B"/>
    <w:rsid w:val="00891F85"/>
    <w:rsid w:val="00895FB2"/>
    <w:rsid w:val="008A5075"/>
    <w:rsid w:val="008B5767"/>
    <w:rsid w:val="008C6A0B"/>
    <w:rsid w:val="008D0A35"/>
    <w:rsid w:val="008E16BA"/>
    <w:rsid w:val="008F67A8"/>
    <w:rsid w:val="009051B0"/>
    <w:rsid w:val="0091019B"/>
    <w:rsid w:val="00920A71"/>
    <w:rsid w:val="00932C4B"/>
    <w:rsid w:val="009331B8"/>
    <w:rsid w:val="00946EFF"/>
    <w:rsid w:val="00952EFA"/>
    <w:rsid w:val="00957CEC"/>
    <w:rsid w:val="00966B1E"/>
    <w:rsid w:val="00987351"/>
    <w:rsid w:val="009B50D7"/>
    <w:rsid w:val="009E215E"/>
    <w:rsid w:val="009E298D"/>
    <w:rsid w:val="009F546B"/>
    <w:rsid w:val="009F7C32"/>
    <w:rsid w:val="00A00F03"/>
    <w:rsid w:val="00A055B6"/>
    <w:rsid w:val="00A201E8"/>
    <w:rsid w:val="00A2449A"/>
    <w:rsid w:val="00A27C40"/>
    <w:rsid w:val="00A30922"/>
    <w:rsid w:val="00A315BE"/>
    <w:rsid w:val="00A3265A"/>
    <w:rsid w:val="00A45662"/>
    <w:rsid w:val="00A461A4"/>
    <w:rsid w:val="00A4765D"/>
    <w:rsid w:val="00A51FED"/>
    <w:rsid w:val="00A955E0"/>
    <w:rsid w:val="00AB0BE8"/>
    <w:rsid w:val="00AB7BBB"/>
    <w:rsid w:val="00AC0A98"/>
    <w:rsid w:val="00AC0E67"/>
    <w:rsid w:val="00AD3E23"/>
    <w:rsid w:val="00AD45F0"/>
    <w:rsid w:val="00AD6C9C"/>
    <w:rsid w:val="00B07569"/>
    <w:rsid w:val="00B1703E"/>
    <w:rsid w:val="00B243D6"/>
    <w:rsid w:val="00B2646B"/>
    <w:rsid w:val="00B506CA"/>
    <w:rsid w:val="00B51AEB"/>
    <w:rsid w:val="00B52C90"/>
    <w:rsid w:val="00B54398"/>
    <w:rsid w:val="00B54448"/>
    <w:rsid w:val="00B65541"/>
    <w:rsid w:val="00B722AE"/>
    <w:rsid w:val="00B73692"/>
    <w:rsid w:val="00B92013"/>
    <w:rsid w:val="00BB0ADB"/>
    <w:rsid w:val="00BC0787"/>
    <w:rsid w:val="00BC70F5"/>
    <w:rsid w:val="00BD5F3D"/>
    <w:rsid w:val="00C04BDF"/>
    <w:rsid w:val="00C37A2C"/>
    <w:rsid w:val="00C41B90"/>
    <w:rsid w:val="00C42D9C"/>
    <w:rsid w:val="00C5030A"/>
    <w:rsid w:val="00C57DD8"/>
    <w:rsid w:val="00C74128"/>
    <w:rsid w:val="00C903AA"/>
    <w:rsid w:val="00C95737"/>
    <w:rsid w:val="00CA26D1"/>
    <w:rsid w:val="00CA3913"/>
    <w:rsid w:val="00CD24F2"/>
    <w:rsid w:val="00CD42A8"/>
    <w:rsid w:val="00CE4514"/>
    <w:rsid w:val="00CE4BA0"/>
    <w:rsid w:val="00CE77E1"/>
    <w:rsid w:val="00CF0684"/>
    <w:rsid w:val="00CF1585"/>
    <w:rsid w:val="00CF6AE7"/>
    <w:rsid w:val="00D029A3"/>
    <w:rsid w:val="00D17288"/>
    <w:rsid w:val="00D2328D"/>
    <w:rsid w:val="00D23A19"/>
    <w:rsid w:val="00D76D66"/>
    <w:rsid w:val="00D77951"/>
    <w:rsid w:val="00D77A0D"/>
    <w:rsid w:val="00DA4203"/>
    <w:rsid w:val="00DA5D7A"/>
    <w:rsid w:val="00DA7903"/>
    <w:rsid w:val="00DB0E47"/>
    <w:rsid w:val="00DB4F74"/>
    <w:rsid w:val="00DC5904"/>
    <w:rsid w:val="00DC7E16"/>
    <w:rsid w:val="00DE413C"/>
    <w:rsid w:val="00DF51D5"/>
    <w:rsid w:val="00E043B3"/>
    <w:rsid w:val="00E43825"/>
    <w:rsid w:val="00E43D04"/>
    <w:rsid w:val="00E57CFA"/>
    <w:rsid w:val="00E65249"/>
    <w:rsid w:val="00E702A7"/>
    <w:rsid w:val="00E70423"/>
    <w:rsid w:val="00E71B44"/>
    <w:rsid w:val="00E723B2"/>
    <w:rsid w:val="00E77A54"/>
    <w:rsid w:val="00E82A38"/>
    <w:rsid w:val="00E915B1"/>
    <w:rsid w:val="00E91C35"/>
    <w:rsid w:val="00E960CC"/>
    <w:rsid w:val="00EA3AFA"/>
    <w:rsid w:val="00EC0354"/>
    <w:rsid w:val="00EC2961"/>
    <w:rsid w:val="00ED32EB"/>
    <w:rsid w:val="00ED427D"/>
    <w:rsid w:val="00EF3BC8"/>
    <w:rsid w:val="00EF74B4"/>
    <w:rsid w:val="00F0608E"/>
    <w:rsid w:val="00F06A1A"/>
    <w:rsid w:val="00F17915"/>
    <w:rsid w:val="00F43174"/>
    <w:rsid w:val="00F443A0"/>
    <w:rsid w:val="00F55EDF"/>
    <w:rsid w:val="00F706D2"/>
    <w:rsid w:val="00F71AA7"/>
    <w:rsid w:val="00F8217F"/>
    <w:rsid w:val="00F94C64"/>
    <w:rsid w:val="00FB0781"/>
    <w:rsid w:val="00FB3102"/>
    <w:rsid w:val="00FC28CD"/>
    <w:rsid w:val="00FD0A32"/>
    <w:rsid w:val="00FD0EDF"/>
    <w:rsid w:val="00FD14C5"/>
    <w:rsid w:val="00FD5E2E"/>
    <w:rsid w:val="00FE5FFC"/>
    <w:rsid w:val="00FE63B3"/>
    <w:rsid w:val="00FF4193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5D30"/>
  <w15:docId w15:val="{6F421128-F928-48CA-A37A-493437A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57DD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9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0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B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Satenik Yeghikyan</cp:lastModifiedBy>
  <cp:revision>5</cp:revision>
  <cp:lastPrinted>2020-02-17T07:41:00Z</cp:lastPrinted>
  <dcterms:created xsi:type="dcterms:W3CDTF">2022-10-19T06:24:00Z</dcterms:created>
  <dcterms:modified xsi:type="dcterms:W3CDTF">2022-10-21T08:06:00Z</dcterms:modified>
</cp:coreProperties>
</file>